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876022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3972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81BF3" w:rsidRPr="00BC31B4" w:rsidRDefault="00C81BF3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81BF3" w:rsidRPr="00B33C8E" w:rsidRDefault="00C81BF3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81BF3" w:rsidRPr="00B33C8E" w:rsidRDefault="00C81BF3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81BF3" w:rsidRDefault="00C81BF3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 w:rsidRPr="00A14A0C">
        <w:t>П О С Т А Н О В Л Е Н И Е</w:t>
      </w:r>
    </w:p>
    <w:p w:rsidR="00876022" w:rsidRPr="00876022" w:rsidRDefault="00876022" w:rsidP="00876022"/>
    <w:p w:rsidR="00E15D88" w:rsidRDefault="00E15D88" w:rsidP="00876022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876022">
        <w:rPr>
          <w:b/>
        </w:rPr>
        <w:t>от 29.12.2018г. №55</w:t>
      </w:r>
      <w:bookmarkStart w:id="0" w:name="_GoBack"/>
      <w:bookmarkEnd w:id="0"/>
    </w:p>
    <w:p w:rsidR="00876022" w:rsidRPr="00A14A0C" w:rsidRDefault="00876022" w:rsidP="00876022">
      <w:pPr>
        <w:spacing w:line="200" w:lineRule="atLeast"/>
        <w:ind w:right="5139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60254E"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60254E">
        <w:rPr>
          <w:sz w:val="28"/>
        </w:rPr>
        <w:t>Красносельское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60254E">
        <w:rPr>
          <w:sz w:val="28"/>
        </w:rPr>
        <w:t>Красносельское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60254E">
        <w:rPr>
          <w:rFonts w:ascii="Times New Roman" w:hAnsi="Times New Roman" w:cs="Tahoma"/>
          <w:bCs/>
          <w:sz w:val="28"/>
        </w:rPr>
        <w:t>Красносельское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60254E">
        <w:rPr>
          <w:sz w:val="28"/>
          <w:szCs w:val="28"/>
        </w:rPr>
        <w:t>Вершков Н.В.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C32BB6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C32BB6">
        <w:tc>
          <w:tcPr>
            <w:tcW w:w="5044" w:type="dxa"/>
            <w:shd w:val="clear" w:color="auto" w:fill="auto"/>
          </w:tcPr>
          <w:p w:rsidR="00E15D88" w:rsidRPr="00A14A0C" w:rsidRDefault="00E15D88" w:rsidP="00C32BB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C32BB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C32BB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60254E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Красносельское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C32BB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60254E">
        <w:rPr>
          <w:b/>
          <w:sz w:val="28"/>
          <w:szCs w:val="28"/>
        </w:rPr>
        <w:t>Красносельское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C32BB6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32BB6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C32BB6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м.р. Сергиевский</w:t>
            </w:r>
          </w:p>
        </w:tc>
      </w:tr>
      <w:tr w:rsidR="00E15D88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C32BB6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</w:t>
            </w:r>
            <w:r w:rsidRPr="00C32BB6">
              <w:rPr>
                <w:sz w:val="28"/>
                <w:szCs w:val="28"/>
              </w:rPr>
              <w:t xml:space="preserve">сельского поселения </w:t>
            </w:r>
            <w:r w:rsidR="0060254E" w:rsidRPr="00C32BB6">
              <w:rPr>
                <w:sz w:val="28"/>
                <w:szCs w:val="28"/>
              </w:rPr>
              <w:t>Красносельское</w:t>
            </w:r>
            <w:r w:rsidRPr="00C32BB6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C32BB6" w:rsidRPr="00C32BB6">
              <w:rPr>
                <w:sz w:val="28"/>
                <w:szCs w:val="28"/>
              </w:rPr>
              <w:t>2 </w:t>
            </w:r>
            <w:r w:rsidR="00C25B32">
              <w:rPr>
                <w:sz w:val="28"/>
                <w:szCs w:val="28"/>
              </w:rPr>
              <w:t>906</w:t>
            </w:r>
            <w:r w:rsidR="00C32BB6" w:rsidRPr="00C32BB6">
              <w:rPr>
                <w:sz w:val="28"/>
                <w:szCs w:val="28"/>
              </w:rPr>
              <w:t>,77785</w:t>
            </w:r>
            <w:r w:rsidRPr="00C32BB6">
              <w:rPr>
                <w:sz w:val="28"/>
                <w:szCs w:val="28"/>
              </w:rPr>
              <w:t xml:space="preserve"> </w:t>
            </w:r>
            <w:r w:rsidR="00A3082A">
              <w:rPr>
                <w:sz w:val="28"/>
                <w:szCs w:val="28"/>
              </w:rPr>
              <w:t>тыс.</w:t>
            </w:r>
            <w:r w:rsidRPr="00C32BB6">
              <w:rPr>
                <w:sz w:val="28"/>
                <w:szCs w:val="28"/>
              </w:rPr>
              <w:t>рублей, в т.ч.:</w:t>
            </w:r>
          </w:p>
          <w:p w:rsidR="00605911" w:rsidRPr="00C32BB6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32BB6">
              <w:rPr>
                <w:sz w:val="28"/>
                <w:szCs w:val="28"/>
              </w:rPr>
              <w:t xml:space="preserve">2019 г. – </w:t>
            </w:r>
            <w:r w:rsidR="00C32BB6" w:rsidRPr="00C32BB6">
              <w:rPr>
                <w:sz w:val="28"/>
                <w:szCs w:val="28"/>
              </w:rPr>
              <w:t>1 </w:t>
            </w:r>
            <w:r w:rsidR="00C81BF3">
              <w:rPr>
                <w:sz w:val="28"/>
                <w:szCs w:val="28"/>
              </w:rPr>
              <w:t>550</w:t>
            </w:r>
            <w:r w:rsidR="00C32BB6" w:rsidRPr="00C32BB6">
              <w:rPr>
                <w:sz w:val="28"/>
                <w:szCs w:val="28"/>
              </w:rPr>
              <w:t>,91465</w:t>
            </w:r>
            <w:r w:rsidRPr="00C32BB6">
              <w:rPr>
                <w:sz w:val="28"/>
                <w:szCs w:val="28"/>
              </w:rPr>
              <w:t xml:space="preserve"> </w:t>
            </w:r>
            <w:r w:rsidR="00A3082A">
              <w:rPr>
                <w:sz w:val="28"/>
                <w:szCs w:val="28"/>
              </w:rPr>
              <w:t>тыс.</w:t>
            </w:r>
            <w:r w:rsidRPr="00C32BB6">
              <w:rPr>
                <w:sz w:val="28"/>
                <w:szCs w:val="28"/>
              </w:rPr>
              <w:t>рублей.</w:t>
            </w:r>
          </w:p>
          <w:p w:rsidR="00605911" w:rsidRPr="00C32BB6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32BB6">
              <w:rPr>
                <w:sz w:val="28"/>
                <w:szCs w:val="28"/>
              </w:rPr>
              <w:t xml:space="preserve">2020г. – </w:t>
            </w:r>
            <w:r w:rsidR="00C32BB6" w:rsidRPr="00C32BB6">
              <w:rPr>
                <w:sz w:val="28"/>
                <w:szCs w:val="28"/>
              </w:rPr>
              <w:t>677,93160</w:t>
            </w:r>
            <w:r w:rsidR="00A3082A">
              <w:rPr>
                <w:sz w:val="28"/>
                <w:szCs w:val="28"/>
              </w:rPr>
              <w:t xml:space="preserve"> тыс.</w:t>
            </w:r>
            <w:r w:rsidRPr="00C32BB6">
              <w:rPr>
                <w:sz w:val="28"/>
                <w:szCs w:val="28"/>
              </w:rPr>
              <w:t>рублей (прогноз).</w:t>
            </w:r>
          </w:p>
          <w:p w:rsidR="00E15D88" w:rsidRPr="00A14A0C" w:rsidRDefault="00605911" w:rsidP="00C32BB6">
            <w:pPr>
              <w:jc w:val="both"/>
              <w:rPr>
                <w:sz w:val="28"/>
                <w:szCs w:val="28"/>
              </w:rPr>
            </w:pPr>
            <w:r w:rsidRPr="00C32BB6">
              <w:rPr>
                <w:sz w:val="28"/>
                <w:szCs w:val="28"/>
              </w:rPr>
              <w:t xml:space="preserve">2021г. – </w:t>
            </w:r>
            <w:r w:rsidR="00C32BB6" w:rsidRPr="00C32BB6">
              <w:rPr>
                <w:sz w:val="28"/>
                <w:szCs w:val="28"/>
              </w:rPr>
              <w:t>677,93160</w:t>
            </w:r>
            <w:r w:rsidRPr="00C32BB6">
              <w:rPr>
                <w:sz w:val="28"/>
                <w:szCs w:val="28"/>
              </w:rPr>
              <w:t xml:space="preserve"> </w:t>
            </w:r>
            <w:r w:rsidR="00A3082A">
              <w:rPr>
                <w:sz w:val="28"/>
                <w:szCs w:val="28"/>
              </w:rPr>
              <w:t>тыс.</w:t>
            </w:r>
            <w:r w:rsidRPr="00C32BB6">
              <w:rPr>
                <w:sz w:val="28"/>
                <w:szCs w:val="28"/>
              </w:rPr>
              <w:t>рублей (прогноз)</w:t>
            </w:r>
            <w:r w:rsidR="00E15D88" w:rsidRPr="00C32BB6">
              <w:rPr>
                <w:sz w:val="28"/>
                <w:szCs w:val="28"/>
              </w:rPr>
              <w:t>.</w:t>
            </w:r>
          </w:p>
        </w:tc>
      </w:tr>
      <w:tr w:rsidR="00605911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C32BB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C32BB6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60254E">
              <w:rPr>
                <w:sz w:val="28"/>
                <w:szCs w:val="28"/>
              </w:rPr>
              <w:t>Красносельское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</w:t>
            </w:r>
          </w:p>
        </w:tc>
      </w:tr>
    </w:tbl>
    <w:p w:rsidR="00605911" w:rsidRPr="00A14A0C" w:rsidRDefault="00605911" w:rsidP="0060254E">
      <w:pPr>
        <w:jc w:val="center"/>
        <w:rPr>
          <w:b/>
          <w:sz w:val="28"/>
          <w:szCs w:val="28"/>
        </w:rPr>
      </w:pPr>
      <w:r w:rsidRPr="00A14A0C">
        <w:rPr>
          <w:sz w:val="28"/>
          <w:szCs w:val="28"/>
        </w:rPr>
        <w:br w:type="page"/>
      </w:r>
      <w:r w:rsidR="0060254E" w:rsidRPr="0060254E">
        <w:rPr>
          <w:b/>
          <w:sz w:val="28"/>
          <w:szCs w:val="28"/>
        </w:rPr>
        <w:lastRenderedPageBreak/>
        <w:t>1.</w:t>
      </w:r>
      <w:r w:rsidR="0060254E">
        <w:rPr>
          <w:sz w:val="28"/>
          <w:szCs w:val="28"/>
        </w:rPr>
        <w:t xml:space="preserve">  </w:t>
      </w: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32BB6">
        <w:rPr>
          <w:sz w:val="28"/>
          <w:szCs w:val="28"/>
        </w:rPr>
        <w:t>е</w:t>
      </w:r>
      <w:r w:rsidRPr="00A14A0C">
        <w:rPr>
          <w:sz w:val="28"/>
          <w:szCs w:val="28"/>
        </w:rPr>
        <w:t>ма экономики сельского поселения и повышения 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60254E" w:rsidRDefault="0060254E" w:rsidP="0060254E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33EE" w:rsidRPr="0060254E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60254E">
        <w:rPr>
          <w:sz w:val="28"/>
          <w:szCs w:val="28"/>
        </w:rPr>
        <w:t>Красносельское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C32BB6">
        <w:tc>
          <w:tcPr>
            <w:tcW w:w="675" w:type="dxa"/>
            <w:vMerge w:val="restart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C32BB6">
        <w:tc>
          <w:tcPr>
            <w:tcW w:w="675" w:type="dxa"/>
            <w:vMerge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C32BB6">
        <w:tc>
          <w:tcPr>
            <w:tcW w:w="675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C32B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32BB6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 xml:space="preserve">Критерий благоустроенности (Кбл) – отражает увеличение объемов финансовых вложений в развитие и содержание благоустройства территории сельского 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м.р. Сергиевский в расчете на 1 жителя и 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3971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О1 -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О2 -фактический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Ч1 -численность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Ч2 -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C32BB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A3082A">
              <w:t>тыс.</w:t>
            </w:r>
            <w:r w:rsidRPr="00A14A0C">
              <w:t>рублей</w:t>
            </w:r>
          </w:p>
        </w:tc>
      </w:tr>
      <w:tr w:rsidR="00783A7F" w:rsidRPr="00A14A0C" w:rsidTr="00C32BB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C32BB6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C32BB6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C32BB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3A7F" w:rsidRPr="00C32BB6" w:rsidRDefault="00C32BB6" w:rsidP="00C32BB6">
            <w:pPr>
              <w:snapToGrid w:val="0"/>
              <w:jc w:val="center"/>
            </w:pPr>
            <w:r w:rsidRPr="00C32BB6">
              <w:t>71,44498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A7F" w:rsidRPr="00C32BB6" w:rsidRDefault="00C32BB6" w:rsidP="00C32BB6">
            <w:pPr>
              <w:snapToGrid w:val="0"/>
              <w:jc w:val="center"/>
            </w:pPr>
            <w:r w:rsidRPr="00C32BB6">
              <w:t>404,78200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83A7F" w:rsidRPr="00C32BB6" w:rsidRDefault="00C32BB6" w:rsidP="00C32BB6">
            <w:pPr>
              <w:snapToGrid w:val="0"/>
              <w:jc w:val="center"/>
            </w:pPr>
            <w:r w:rsidRPr="00C32BB6">
              <w:t>404,78200</w:t>
            </w:r>
          </w:p>
        </w:tc>
      </w:tr>
      <w:tr w:rsidR="00783A7F" w:rsidRPr="00A14A0C" w:rsidTr="00C32BB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C32BB6" w:rsidRDefault="00C32BB6" w:rsidP="00C32BB6">
            <w:pPr>
              <w:snapToGrid w:val="0"/>
              <w:jc w:val="center"/>
            </w:pPr>
            <w:r w:rsidRPr="00C32BB6">
              <w:t>84,41076</w:t>
            </w:r>
          </w:p>
        </w:tc>
        <w:tc>
          <w:tcPr>
            <w:tcW w:w="1843" w:type="dxa"/>
            <w:vAlign w:val="center"/>
          </w:tcPr>
          <w:p w:rsidR="00783A7F" w:rsidRPr="00C32BB6" w:rsidRDefault="00783A7F" w:rsidP="00C32BB6">
            <w:pPr>
              <w:snapToGrid w:val="0"/>
              <w:jc w:val="center"/>
            </w:pPr>
            <w:r w:rsidRPr="00C32BB6">
              <w:t>-</w:t>
            </w:r>
          </w:p>
        </w:tc>
        <w:tc>
          <w:tcPr>
            <w:tcW w:w="1955" w:type="dxa"/>
            <w:vAlign w:val="center"/>
          </w:tcPr>
          <w:p w:rsidR="00783A7F" w:rsidRPr="00C32BB6" w:rsidRDefault="00783A7F" w:rsidP="00C32BB6">
            <w:pPr>
              <w:snapToGrid w:val="0"/>
              <w:jc w:val="center"/>
            </w:pPr>
            <w:r w:rsidRPr="00C32BB6">
              <w:t>-</w:t>
            </w:r>
          </w:p>
        </w:tc>
      </w:tr>
      <w:tr w:rsidR="00783A7F" w:rsidRPr="00A14A0C" w:rsidTr="00C32BB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C32BB6" w:rsidRDefault="00C32BB6" w:rsidP="00C32BB6">
            <w:pPr>
              <w:snapToGrid w:val="0"/>
              <w:jc w:val="center"/>
            </w:pPr>
            <w:r w:rsidRPr="00C32BB6">
              <w:t>42,24220</w:t>
            </w:r>
          </w:p>
        </w:tc>
        <w:tc>
          <w:tcPr>
            <w:tcW w:w="1843" w:type="dxa"/>
            <w:vAlign w:val="center"/>
          </w:tcPr>
          <w:p w:rsidR="00783A7F" w:rsidRPr="00C32BB6" w:rsidRDefault="00783A7F" w:rsidP="00C32BB6">
            <w:pPr>
              <w:snapToGrid w:val="0"/>
              <w:jc w:val="center"/>
            </w:pPr>
            <w:r w:rsidRPr="00C32BB6">
              <w:t>-</w:t>
            </w:r>
          </w:p>
        </w:tc>
        <w:tc>
          <w:tcPr>
            <w:tcW w:w="1955" w:type="dxa"/>
            <w:vAlign w:val="center"/>
          </w:tcPr>
          <w:p w:rsidR="00783A7F" w:rsidRPr="00C32BB6" w:rsidRDefault="00783A7F" w:rsidP="00C32BB6">
            <w:pPr>
              <w:snapToGrid w:val="0"/>
              <w:jc w:val="center"/>
            </w:pPr>
            <w:r w:rsidRPr="00C32BB6">
              <w:t>-</w:t>
            </w:r>
          </w:p>
        </w:tc>
      </w:tr>
      <w:tr w:rsidR="00783A7F" w:rsidRPr="00A14A0C" w:rsidTr="00C32BB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</w:pPr>
            <w:r w:rsidRPr="00A14A0C">
              <w:t>Бак. анализ воды</w:t>
            </w:r>
          </w:p>
        </w:tc>
        <w:tc>
          <w:tcPr>
            <w:tcW w:w="1985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</w:pPr>
            <w:r w:rsidRPr="00C81BF3">
              <w:t>-</w:t>
            </w:r>
          </w:p>
        </w:tc>
        <w:tc>
          <w:tcPr>
            <w:tcW w:w="1843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</w:pPr>
            <w:r w:rsidRPr="00C81BF3">
              <w:t>-</w:t>
            </w:r>
          </w:p>
        </w:tc>
        <w:tc>
          <w:tcPr>
            <w:tcW w:w="1955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</w:pPr>
            <w:r w:rsidRPr="00C81BF3">
              <w:t>-</w:t>
            </w:r>
          </w:p>
        </w:tc>
      </w:tr>
      <w:tr w:rsidR="00783A7F" w:rsidRPr="00A14A0C" w:rsidTr="00C32BB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C32BB6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C81BF3" w:rsidRDefault="00C81BF3" w:rsidP="00C81BF3">
            <w:pPr>
              <w:snapToGrid w:val="0"/>
              <w:jc w:val="center"/>
            </w:pPr>
            <w:r w:rsidRPr="00C81BF3">
              <w:t>367,81671</w:t>
            </w:r>
          </w:p>
        </w:tc>
        <w:tc>
          <w:tcPr>
            <w:tcW w:w="1843" w:type="dxa"/>
            <w:vAlign w:val="center"/>
          </w:tcPr>
          <w:p w:rsidR="00783A7F" w:rsidRPr="00C81BF3" w:rsidRDefault="00C81BF3" w:rsidP="00C32BB6">
            <w:pPr>
              <w:snapToGrid w:val="0"/>
              <w:jc w:val="center"/>
            </w:pPr>
            <w:r w:rsidRPr="00C81BF3">
              <w:t>273,14960</w:t>
            </w:r>
          </w:p>
        </w:tc>
        <w:tc>
          <w:tcPr>
            <w:tcW w:w="1955" w:type="dxa"/>
            <w:vAlign w:val="center"/>
          </w:tcPr>
          <w:p w:rsidR="00783A7F" w:rsidRPr="00C81BF3" w:rsidRDefault="00C81BF3" w:rsidP="00C32BB6">
            <w:pPr>
              <w:snapToGrid w:val="0"/>
              <w:jc w:val="center"/>
            </w:pPr>
            <w:r w:rsidRPr="00C81BF3">
              <w:t>273,14960</w:t>
            </w:r>
          </w:p>
        </w:tc>
      </w:tr>
      <w:tr w:rsidR="00783A7F" w:rsidRPr="00A14A0C" w:rsidTr="00C32BB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C81BF3" w:rsidRDefault="00C32BB6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565,91465</w:t>
            </w:r>
          </w:p>
        </w:tc>
        <w:tc>
          <w:tcPr>
            <w:tcW w:w="1843" w:type="dxa"/>
            <w:vAlign w:val="center"/>
          </w:tcPr>
          <w:p w:rsidR="00783A7F" w:rsidRPr="00C32BB6" w:rsidRDefault="00C32BB6" w:rsidP="00C32BB6">
            <w:pPr>
              <w:snapToGrid w:val="0"/>
              <w:jc w:val="center"/>
              <w:rPr>
                <w:b/>
              </w:rPr>
            </w:pPr>
            <w:r w:rsidRPr="00C32BB6">
              <w:rPr>
                <w:b/>
              </w:rPr>
              <w:t>677,93160</w:t>
            </w:r>
          </w:p>
        </w:tc>
        <w:tc>
          <w:tcPr>
            <w:tcW w:w="1955" w:type="dxa"/>
            <w:vAlign w:val="center"/>
          </w:tcPr>
          <w:p w:rsidR="00783A7F" w:rsidRPr="00C32BB6" w:rsidRDefault="00C32BB6" w:rsidP="00C32BB6">
            <w:pPr>
              <w:snapToGrid w:val="0"/>
              <w:jc w:val="center"/>
              <w:rPr>
                <w:b/>
              </w:rPr>
            </w:pPr>
            <w:r w:rsidRPr="00C32BB6">
              <w:rPr>
                <w:b/>
              </w:rPr>
              <w:t>677,93160</w:t>
            </w:r>
          </w:p>
        </w:tc>
      </w:tr>
      <w:tr w:rsidR="00783A7F" w:rsidRPr="00A14A0C" w:rsidTr="00C32BB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C81BF3" w:rsidRDefault="00C81BF3" w:rsidP="00C32BB6">
            <w:pPr>
              <w:snapToGrid w:val="0"/>
              <w:jc w:val="center"/>
            </w:pPr>
            <w:r w:rsidRPr="00C81BF3">
              <w:t>985</w:t>
            </w:r>
            <w:r w:rsidR="00783A7F" w:rsidRPr="00C81BF3">
              <w:t>,00000</w:t>
            </w:r>
          </w:p>
        </w:tc>
        <w:tc>
          <w:tcPr>
            <w:tcW w:w="1843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</w:pPr>
            <w:r w:rsidRPr="00C81BF3">
              <w:t>-</w:t>
            </w:r>
          </w:p>
        </w:tc>
        <w:tc>
          <w:tcPr>
            <w:tcW w:w="1955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</w:pPr>
            <w:r w:rsidRPr="00C81BF3">
              <w:t>-</w:t>
            </w:r>
          </w:p>
        </w:tc>
      </w:tr>
      <w:tr w:rsidR="00783A7F" w:rsidRPr="00A14A0C" w:rsidTr="00C32BB6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32BB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C81BF3" w:rsidRDefault="00C81BF3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985</w:t>
            </w:r>
            <w:r w:rsidR="00783A7F" w:rsidRPr="00C81BF3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C81BF3" w:rsidRDefault="00783A7F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0,00000</w:t>
            </w:r>
          </w:p>
        </w:tc>
      </w:tr>
      <w:tr w:rsidR="00783A7F" w:rsidRPr="00A14A0C" w:rsidTr="00C32BB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C32BB6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C81BF3" w:rsidRDefault="00C81BF3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 xml:space="preserve"> 1 550,91465</w:t>
            </w:r>
          </w:p>
        </w:tc>
        <w:tc>
          <w:tcPr>
            <w:tcW w:w="1843" w:type="dxa"/>
            <w:vAlign w:val="center"/>
          </w:tcPr>
          <w:p w:rsidR="00783A7F" w:rsidRPr="00C81BF3" w:rsidRDefault="00C81BF3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677,93160</w:t>
            </w:r>
          </w:p>
        </w:tc>
        <w:tc>
          <w:tcPr>
            <w:tcW w:w="1955" w:type="dxa"/>
            <w:vAlign w:val="center"/>
          </w:tcPr>
          <w:p w:rsidR="00783A7F" w:rsidRPr="00C81BF3" w:rsidRDefault="00C81BF3" w:rsidP="00C32BB6">
            <w:pPr>
              <w:snapToGrid w:val="0"/>
              <w:jc w:val="center"/>
              <w:rPr>
                <w:b/>
              </w:rPr>
            </w:pPr>
            <w:r w:rsidRPr="00C81BF3">
              <w:rPr>
                <w:b/>
              </w:rPr>
              <w:t>677,93160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A3082A" w:rsidRDefault="00A3082A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082A" w:rsidRDefault="00A3082A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082A" w:rsidRDefault="00A3082A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C25B32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C25B32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C81BF3" w:rsidRPr="00C25B32">
        <w:rPr>
          <w:sz w:val="28"/>
          <w:szCs w:val="28"/>
        </w:rPr>
        <w:t>2 906,77785</w:t>
      </w:r>
      <w:r w:rsidRPr="00C25B32">
        <w:rPr>
          <w:sz w:val="28"/>
          <w:szCs w:val="28"/>
        </w:rPr>
        <w:t xml:space="preserve"> тыс. рублей, в том числе по годам:</w:t>
      </w:r>
    </w:p>
    <w:p w:rsidR="00E15D88" w:rsidRPr="00C25B32" w:rsidRDefault="00E15D88" w:rsidP="00E15D88">
      <w:pPr>
        <w:jc w:val="both"/>
        <w:rPr>
          <w:sz w:val="28"/>
          <w:szCs w:val="28"/>
        </w:rPr>
      </w:pPr>
      <w:r w:rsidRPr="00C25B32">
        <w:rPr>
          <w:sz w:val="28"/>
          <w:szCs w:val="28"/>
        </w:rPr>
        <w:t xml:space="preserve"> </w:t>
      </w:r>
      <w:r w:rsidRPr="00C25B32">
        <w:rPr>
          <w:sz w:val="28"/>
          <w:szCs w:val="28"/>
        </w:rPr>
        <w:tab/>
        <w:t>- на 201</w:t>
      </w:r>
      <w:r w:rsidR="00C55CE7" w:rsidRPr="00C25B32">
        <w:rPr>
          <w:sz w:val="28"/>
          <w:szCs w:val="28"/>
        </w:rPr>
        <w:t>9</w:t>
      </w:r>
      <w:r w:rsidRPr="00C25B32">
        <w:rPr>
          <w:sz w:val="28"/>
          <w:szCs w:val="28"/>
        </w:rPr>
        <w:t xml:space="preserve"> год – </w:t>
      </w:r>
      <w:r w:rsidR="00C81BF3" w:rsidRPr="00C25B32">
        <w:rPr>
          <w:sz w:val="28"/>
          <w:szCs w:val="28"/>
        </w:rPr>
        <w:t>1 550,91465</w:t>
      </w:r>
      <w:r w:rsidRPr="00C25B32">
        <w:rPr>
          <w:sz w:val="28"/>
          <w:szCs w:val="28"/>
        </w:rPr>
        <w:t xml:space="preserve"> тыс. рублей;</w:t>
      </w:r>
    </w:p>
    <w:p w:rsidR="00E15D88" w:rsidRPr="00C25B32" w:rsidRDefault="00E15D88" w:rsidP="00E15D88">
      <w:pPr>
        <w:jc w:val="both"/>
        <w:rPr>
          <w:sz w:val="28"/>
          <w:szCs w:val="28"/>
        </w:rPr>
      </w:pPr>
      <w:r w:rsidRPr="00C25B32">
        <w:rPr>
          <w:sz w:val="28"/>
          <w:szCs w:val="28"/>
        </w:rPr>
        <w:tab/>
        <w:t>- на 20</w:t>
      </w:r>
      <w:r w:rsidR="00C55CE7" w:rsidRPr="00C25B32">
        <w:rPr>
          <w:sz w:val="28"/>
          <w:szCs w:val="28"/>
        </w:rPr>
        <w:t>20</w:t>
      </w:r>
      <w:r w:rsidRPr="00C25B32">
        <w:rPr>
          <w:sz w:val="28"/>
          <w:szCs w:val="28"/>
        </w:rPr>
        <w:t xml:space="preserve"> год – </w:t>
      </w:r>
      <w:r w:rsidR="00C81BF3" w:rsidRPr="00C25B32">
        <w:rPr>
          <w:sz w:val="28"/>
          <w:szCs w:val="28"/>
        </w:rPr>
        <w:t>677,93160</w:t>
      </w:r>
      <w:r w:rsidRPr="00C25B32">
        <w:rPr>
          <w:sz w:val="28"/>
          <w:szCs w:val="28"/>
        </w:rPr>
        <w:t xml:space="preserve"> тыс. рублей</w:t>
      </w:r>
      <w:r w:rsidR="005A7DF9" w:rsidRPr="00C25B32">
        <w:rPr>
          <w:sz w:val="28"/>
          <w:szCs w:val="28"/>
        </w:rPr>
        <w:t>(прогноз)</w:t>
      </w:r>
      <w:r w:rsidRPr="00C25B32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C25B32">
        <w:rPr>
          <w:sz w:val="28"/>
          <w:szCs w:val="28"/>
        </w:rPr>
        <w:tab/>
        <w:t>- на 20</w:t>
      </w:r>
      <w:r w:rsidR="00C55CE7" w:rsidRPr="00C25B32">
        <w:rPr>
          <w:sz w:val="28"/>
          <w:szCs w:val="28"/>
        </w:rPr>
        <w:t>21</w:t>
      </w:r>
      <w:r w:rsidRPr="00C25B32">
        <w:rPr>
          <w:sz w:val="28"/>
          <w:szCs w:val="28"/>
        </w:rPr>
        <w:t xml:space="preserve"> год – </w:t>
      </w:r>
      <w:r w:rsidR="00C81BF3" w:rsidRPr="00C25B32">
        <w:rPr>
          <w:sz w:val="28"/>
          <w:szCs w:val="28"/>
        </w:rPr>
        <w:t>677,93160</w:t>
      </w:r>
      <w:r w:rsidRPr="00C25B32">
        <w:rPr>
          <w:sz w:val="28"/>
          <w:szCs w:val="28"/>
        </w:rPr>
        <w:t xml:space="preserve"> тыс. рублей</w:t>
      </w:r>
      <w:r w:rsidR="005A7DF9" w:rsidRPr="00C25B32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60254E">
        <w:t>Красносельское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60254E">
        <w:t>Красносельское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60254E">
        <w:t>Красносельское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60254E">
        <w:rPr>
          <w:sz w:val="28"/>
        </w:rPr>
        <w:t>Красносельское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60254E">
        <w:rPr>
          <w:sz w:val="28"/>
          <w:szCs w:val="28"/>
        </w:rPr>
        <w:t>Красносельское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60254E">
        <w:t>Красносельское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60254E">
        <w:t>Красносельское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C32BB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3" w:rsidRDefault="00C81BF3" w:rsidP="000B725F">
      <w:r>
        <w:separator/>
      </w:r>
    </w:p>
  </w:endnote>
  <w:endnote w:type="continuationSeparator" w:id="0">
    <w:p w:rsidR="00C81BF3" w:rsidRDefault="00C81BF3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6022">
      <w:rPr>
        <w:noProof/>
      </w:rPr>
      <w:t>1</w:t>
    </w:r>
    <w:r>
      <w:fldChar w:fldCharType="end"/>
    </w:r>
  </w:p>
  <w:p w:rsidR="00C81BF3" w:rsidRDefault="00C81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3" w:rsidRDefault="00C81BF3" w:rsidP="000B725F">
      <w:r>
        <w:separator/>
      </w:r>
    </w:p>
  </w:footnote>
  <w:footnote w:type="continuationSeparator" w:id="0">
    <w:p w:rsidR="00C81BF3" w:rsidRDefault="00C81BF3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93F9A"/>
    <w:rsid w:val="001E137D"/>
    <w:rsid w:val="001F3FB2"/>
    <w:rsid w:val="002250A4"/>
    <w:rsid w:val="002B1BB8"/>
    <w:rsid w:val="003035F9"/>
    <w:rsid w:val="00330844"/>
    <w:rsid w:val="003520EB"/>
    <w:rsid w:val="00461728"/>
    <w:rsid w:val="004D76CC"/>
    <w:rsid w:val="00562C22"/>
    <w:rsid w:val="005A4764"/>
    <w:rsid w:val="005A7DF9"/>
    <w:rsid w:val="0060254E"/>
    <w:rsid w:val="00605911"/>
    <w:rsid w:val="00690A19"/>
    <w:rsid w:val="006B7714"/>
    <w:rsid w:val="007033EE"/>
    <w:rsid w:val="00783A7F"/>
    <w:rsid w:val="007C4A28"/>
    <w:rsid w:val="00872EE6"/>
    <w:rsid w:val="00876022"/>
    <w:rsid w:val="00977E67"/>
    <w:rsid w:val="00A14A0C"/>
    <w:rsid w:val="00A3082A"/>
    <w:rsid w:val="00AA612B"/>
    <w:rsid w:val="00BF0E6F"/>
    <w:rsid w:val="00C25B32"/>
    <w:rsid w:val="00C32BB6"/>
    <w:rsid w:val="00C55CE7"/>
    <w:rsid w:val="00C81BF3"/>
    <w:rsid w:val="00DA01AD"/>
    <w:rsid w:val="00E15D88"/>
    <w:rsid w:val="00E24D6B"/>
    <w:rsid w:val="00E46B55"/>
    <w:rsid w:val="00EB0B57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2018-12-27T04:07:00Z</dcterms:created>
  <dcterms:modified xsi:type="dcterms:W3CDTF">2019-01-23T06:20:00Z</dcterms:modified>
</cp:coreProperties>
</file>